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left"/>
      </w:pPr>
      <w:r>
        <w:rPr>
          <w:b/>
          <w:bCs/>
          <w:sz w:val="44"/>
          <w:szCs w:val="44"/>
        </w:rPr>
        <w:t xml:space="preserve">HanJun Cho</w:t>
      </w:r>
    </w:p>
    <w:p>
      <w:pPr>
        <w:spacing w:after="60"/>
      </w:pPr>
      <w:r>
        <w:rPr>
          <w:sz w:val="22"/>
          <w:szCs w:val="22"/>
        </w:rPr>
        <w:t xml:space="preserve">AI Research Engineer · Seoul, South Korea</w:t>
      </w:r>
    </w:p>
    <w:p>
      <w:pPr>
        <w:spacing w:after="240"/>
      </w:pPr>
      <w:hyperlink w:history="1" r:id="rIdfzfabyyjnmthns1pceaz1">
        <w:r>
          <w:rPr>
            <w:rStyle w:val="Hyperlink"/>
            <w:sz w:val="20"/>
            <w:szCs w:val="20"/>
          </w:rPr>
          <w:t xml:space="preserve">gkswns0531@gmail.com</w:t>
        </w:r>
      </w:hyperlink>
      <w:r>
        <w:rPr>
          <w:sz w:val="20"/>
          <w:szCs w:val="20"/>
        </w:rPr>
        <w:t xml:space="preserve">   ·   </w:t>
      </w:r>
      <w:hyperlink w:history="1" r:id="rIdryvnnrilvuocgcxgh1-zh">
        <w:r>
          <w:rPr>
            <w:rStyle w:val="Hyperlink"/>
            <w:sz w:val="20"/>
            <w:szCs w:val="20"/>
          </w:rPr>
          <w:t xml:space="preserve">GitHub</w:t>
        </w:r>
      </w:hyperlink>
    </w:p>
    <w:p>
      <w:pPr>
        <w:pStyle w:val="Heading2"/>
        <w:spacing w:after="80" w:before="240"/>
      </w:pPr>
      <w:r>
        <w:rPr>
          <w:b w:val="false"/>
          <w:bCs w:val="false"/>
          <w:i w:val="false"/>
          <w:iCs w:val="false"/>
        </w:rPr>
        <w:t xml:space="preserve">Website</w:t>
      </w:r>
    </w:p>
    <w:p>
      <w:pPr>
        <w:spacing w:after="100"/>
      </w:pPr>
      <w:r>
        <w:rPr>
          <w:b w:val="false"/>
          <w:bCs w:val="false"/>
          <w:i w:val="false"/>
          <w:iCs w:val="false"/>
        </w:rPr>
        <w:t xml:space="preserve">hanjun.alphajo.ai</w:t>
      </w:r>
    </w:p>
    <w:p>
      <w:pPr>
        <w:pStyle w:val="Heading2"/>
        <w:spacing w:after="80" w:before="240"/>
      </w:pPr>
      <w:r>
        <w:rPr>
          <w:b w:val="false"/>
          <w:bCs w:val="false"/>
          <w:i w:val="false"/>
          <w:iCs w:val="false"/>
        </w:rPr>
        <w:t xml:space="preserve">Summary</w:t>
      </w:r>
    </w:p>
    <w:p>
      <w:pPr>
        <w:spacing w:after="100"/>
      </w:pPr>
      <w:r>
        <w:rPr>
          <w:b w:val="false"/>
          <w:bCs w:val="false"/>
          <w:i w:val="false"/>
          <w:iCs w:val="false"/>
        </w:rPr>
        <w:t xml:space="preserve">Engineer specializing in Retrieval-Augmented Generation (RAG), large-scale LLM inference optimization, and search relevance. Experience building and operating multi-regional inference servers handling ~30M monthly requests. Contributor to NVIDIA TensorRT-LLM (Qwen3 Dense &amp; MoE support) and vLLM. Research background in retrieval and numerical reasoning with top-tier conference publications (ACL &amp; TACL). Strong track record of measurable impact in latency reduction, accuracy improvement, and system reliability.</w:t>
      </w:r>
    </w:p>
    <w:p>
      <w:pPr>
        <w:pStyle w:val="Heading2"/>
        <w:spacing w:after="80" w:before="240"/>
      </w:pPr>
      <w:r>
        <w:rPr>
          <w:b w:val="false"/>
          <w:bCs w:val="false"/>
          <w:i w:val="false"/>
          <w:iCs w:val="false"/>
        </w:rPr>
        <w:t xml:space="preserve">Experience</w:t>
      </w:r>
    </w:p>
    <w:p>
      <w:pPr>
        <w:pStyle w:val="Heading3"/>
        <w:spacing w:after="80" w:before="240"/>
      </w:pPr>
      <w:r>
        <w:rPr>
          <w:b w:val="false"/>
          <w:bCs w:val="false"/>
          <w:i w:val="false"/>
          <w:iCs w:val="false"/>
        </w:rPr>
        <w:t xml:space="preserve">Allganize Korea — AI Research Engineer</w:t>
      </w:r>
    </w:p>
    <w:p>
      <w:pPr>
        <w:spacing w:after="100"/>
      </w:pPr>
      <w:r>
        <w:rPr>
          <w:b w:val="false"/>
          <w:bCs w:val="false"/>
          <w:i/>
          <w:iCs/>
        </w:rPr>
        <w:t xml:space="preserve">Seoul, South Korea · Sep 2024 – Present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 w:val="false"/>
          <w:iCs w:val="false"/>
        </w:rPr>
        <w:t xml:space="preserve">Multi-tenant agentic AI platform</w:t>
      </w:r>
      <w:r>
        <w:rPr>
          <w:b w:val="false"/>
          <w:bCs w:val="false"/>
          <w:i w:val="false"/>
          <w:iCs w:val="false"/>
        </w:rPr>
        <w:t xml:space="preserve"> for financial institution, deployed as a hybrid on-premise architecture (network-segregated). (installation &amp; ops)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 w:val="false"/>
          <w:iCs w:val="false"/>
        </w:rPr>
        <w:t xml:space="preserve">Single-tenant RAG</w:t>
      </w:r>
      <w:r>
        <w:rPr>
          <w:b w:val="false"/>
          <w:bCs w:val="false"/>
          <w:i w:val="false"/>
          <w:iCs w:val="false"/>
        </w:rPr>
        <w:t xml:space="preserve"> on </w:t>
      </w:r>
      <w:r>
        <w:rPr>
          <w:b/>
          <w:bCs/>
          <w:i w:val="false"/>
          <w:iCs w:val="false"/>
        </w:rPr>
        <w:t xml:space="preserve">AWS EKS</w:t>
      </w:r>
      <w:r>
        <w:rPr>
          <w:b w:val="false"/>
          <w:bCs w:val="false"/>
          <w:i w:val="false"/>
          <w:iCs w:val="false"/>
        </w:rPr>
        <w:t xml:space="preserve"> (K8s) for enterprise client: </w:t>
      </w:r>
      <w:r>
        <w:rPr>
          <w:b/>
          <w:bCs/>
          <w:i w:val="false"/>
          <w:iCs w:val="false"/>
        </w:rPr>
        <w:t xml:space="preserve">300 RPS</w:t>
      </w:r>
      <w:r>
        <w:rPr>
          <w:b w:val="false"/>
          <w:bCs w:val="false"/>
          <w:i w:val="false"/>
          <w:iCs w:val="false"/>
        </w:rPr>
        <w:t xml:space="preserve"> in production, validated up to 10K RPS in load tests. (deploy &amp; ops)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 w:val="false"/>
          <w:iCs w:val="false"/>
        </w:rPr>
        <w:t xml:space="preserve">GraphRAG</w:t>
      </w:r>
      <w:r>
        <w:rPr>
          <w:b w:val="false"/>
          <w:bCs w:val="false"/>
          <w:i w:val="false"/>
          <w:iCs w:val="false"/>
        </w:rPr>
        <w:t xml:space="preserve"> over interconnected enterprise documents for portfolio-level strategic queries. (deploy)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 w:val="false"/>
          <w:iCs w:val="false"/>
        </w:rPr>
        <w:t xml:space="preserve">Multi-Region</w:t>
      </w:r>
      <w:r>
        <w:rPr>
          <w:b w:val="false"/>
          <w:bCs w:val="false"/>
          <w:i w:val="false"/>
          <w:iCs w:val="false"/>
        </w:rPr>
        <w:t xml:space="preserve"> embedding inference servers across KR/US/JP, </w:t>
      </w:r>
      <w:r>
        <w:rPr>
          <w:b/>
          <w:bCs/>
          <w:i w:val="false"/>
          <w:iCs w:val="false"/>
        </w:rPr>
        <w:t xml:space="preserve">30M</w:t>
      </w:r>
      <w:r>
        <w:rPr>
          <w:b w:val="false"/>
          <w:bCs w:val="false"/>
          <w:i w:val="false"/>
          <w:iCs w:val="false"/>
        </w:rPr>
        <w:t xml:space="preserve"> req/month. (deploy &amp; ops)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 w:val="false"/>
          <w:iCs w:val="false"/>
        </w:rPr>
        <w:t xml:space="preserve">TensorRT</w:t>
      </w:r>
      <w:r>
        <w:rPr>
          <w:b w:val="false"/>
          <w:bCs w:val="false"/>
          <w:i w:val="false"/>
          <w:iCs w:val="false"/>
        </w:rPr>
        <w:t xml:space="preserve"> Engine &amp; </w:t>
      </w:r>
      <w:r>
        <w:rPr>
          <w:b/>
          <w:bCs/>
          <w:i w:val="false"/>
          <w:iCs w:val="false"/>
        </w:rPr>
        <w:t xml:space="preserve">Triton Server</w:t>
      </w:r>
      <w:r>
        <w:rPr>
          <w:b w:val="false"/>
          <w:bCs w:val="false"/>
          <w:i w:val="false"/>
          <w:iCs w:val="false"/>
        </w:rPr>
        <w:t xml:space="preserve">-based priority/distributed scheduling system for inference serving: (deploy &amp; ops)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 w:val="false"/>
          <w:iCs w:val="false"/>
        </w:rPr>
        <w:t xml:space="preserve">Prometheus</w:t>
      </w:r>
      <w:r>
        <w:rPr>
          <w:b w:val="false"/>
          <w:bCs w:val="false"/>
          <w:i w:val="false"/>
          <w:iCs w:val="false"/>
        </w:rPr>
        <w:t xml:space="preserve"> &amp; </w:t>
      </w:r>
      <w:r>
        <w:rPr>
          <w:b/>
          <w:bCs/>
          <w:i w:val="false"/>
          <w:iCs w:val="false"/>
        </w:rPr>
        <w:t xml:space="preserve">Grafana</w:t>
      </w:r>
      <w:r>
        <w:rPr>
          <w:b w:val="false"/>
          <w:bCs w:val="false"/>
          <w:i w:val="false"/>
          <w:iCs w:val="false"/>
        </w:rPr>
        <w:t xml:space="preserve"> based monitoring system (deploy &amp; ops)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 w:val="false"/>
          <w:bCs w:val="false"/>
          <w:i w:val="false"/>
          <w:iCs w:val="false"/>
        </w:rPr>
        <w:t xml:space="preserve">Designed strategies for </w:t>
      </w:r>
      <w:r>
        <w:rPr>
          <w:b/>
          <w:bCs/>
          <w:i w:val="false"/>
          <w:iCs w:val="false"/>
        </w:rPr>
        <w:t xml:space="preserve">ambiguous queries</w:t>
      </w:r>
      <w:r>
        <w:rPr>
          <w:b w:val="false"/>
          <w:bCs w:val="false"/>
          <w:i w:val="false"/>
          <w:iCs w:val="false"/>
        </w:rPr>
        <w:t xml:space="preserve"> and </w:t>
      </w:r>
      <w:r>
        <w:rPr>
          <w:b/>
          <w:bCs/>
          <w:i w:val="false"/>
          <w:iCs w:val="false"/>
        </w:rPr>
        <w:t xml:space="preserve">factual-conflict resolution</w:t>
      </w:r>
      <w:r>
        <w:rPr>
          <w:b w:val="false"/>
          <w:bCs w:val="false"/>
          <w:i w:val="false"/>
          <w:iCs w:val="false"/>
        </w:rPr>
        <w:t xml:space="preserve"> across document versions.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 w:val="false"/>
          <w:bCs w:val="false"/>
          <w:i w:val="false"/>
          <w:iCs w:val="false"/>
        </w:rPr>
        <w:t xml:space="preserve">Developed framework to automatically generate high-quality RAG evaluation datasets from client's documents (</w:t>
      </w:r>
      <w:r>
        <w:rPr>
          <w:b/>
          <w:bCs/>
          <w:i w:val="false"/>
          <w:iCs w:val="false"/>
        </w:rPr>
        <w:t xml:space="preserve">RARE</w:t>
      </w:r>
      <w:r>
        <w:rPr>
          <w:b w:val="false"/>
          <w:bCs w:val="false"/>
          <w:i w:val="false"/>
          <w:iCs w:val="false"/>
        </w:rPr>
        <w:t xml:space="preserve">).</w:t>
      </w:r>
    </w:p>
    <w:p>
      <w:pPr>
        <w:pStyle w:val="Heading2"/>
        <w:spacing w:after="80" w:before="240"/>
      </w:pPr>
      <w:r>
        <w:rPr>
          <w:b w:val="false"/>
          <w:bCs w:val="false"/>
          <w:i w:val="false"/>
          <w:iCs w:val="false"/>
        </w:rPr>
        <w:t xml:space="preserve">Open-Source Contributor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 w:val="false"/>
          <w:iCs w:val="false"/>
        </w:rPr>
        <w:t xml:space="preserve">NVIDIA TensorRT-LLM</w:t>
      </w:r>
      <w:r>
        <w:rPr>
          <w:b w:val="false"/>
          <w:bCs w:val="false"/>
          <w:i w:val="false"/>
          <w:iCs w:val="false"/>
        </w:rPr>
        <w:t xml:space="preserve"> — Merged PRs (</w:t>
      </w:r>
      <w:hyperlink w:history="1" r:id="rIdyf9oko6_fmq3haanm-nuy">
        <w:r>
          <w:rPr>
            <w:rStyle w:val="Hyperlink"/>
            <w:b w:val="false"/>
            <w:bCs w:val="false"/>
            <w:i w:val="false"/>
            <w:iCs w:val="false"/>
          </w:rPr>
          <w:t xml:space="preserve">#5650</w:t>
        </w:r>
      </w:hyperlink>
      <w:r>
        <w:rPr>
          <w:b w:val="false"/>
          <w:bCs w:val="false"/>
          <w:i w:val="false"/>
          <w:iCs w:val="false"/>
        </w:rPr>
        <w:t xml:space="preserve">, </w:t>
      </w:r>
      <w:hyperlink w:history="1" r:id="rIdztis-ca9y6cjbdhomqrdz">
        <w:r>
          <w:rPr>
            <w:rStyle w:val="Hyperlink"/>
            <w:b w:val="false"/>
            <w:bCs w:val="false"/>
            <w:i w:val="false"/>
            <w:iCs w:val="false"/>
          </w:rPr>
          <w:t xml:space="preserve">#6470</w:t>
        </w:r>
      </w:hyperlink>
      <w:r>
        <w:rPr>
          <w:b w:val="false"/>
          <w:bCs w:val="false"/>
          <w:i w:val="false"/>
          <w:iCs w:val="false"/>
        </w:rPr>
        <w:t xml:space="preserve">) adding/expanding support for Qwen3 Dense &amp; MoE engines.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 w:val="false"/>
          <w:iCs w:val="false"/>
        </w:rPr>
        <w:t xml:space="preserve">vLLM</w:t>
      </w:r>
      <w:r>
        <w:rPr>
          <w:b w:val="false"/>
          <w:bCs w:val="false"/>
          <w:i w:val="false"/>
          <w:iCs w:val="false"/>
        </w:rPr>
        <w:t xml:space="preserve"> — Merged PR (</w:t>
      </w:r>
      <w:hyperlink w:history="1" r:id="rIdtharvbncklgkejinutiip">
        <w:r>
          <w:rPr>
            <w:rStyle w:val="Hyperlink"/>
            <w:b w:val="false"/>
            <w:bCs w:val="false"/>
            <w:i w:val="false"/>
            <w:iCs w:val="false"/>
          </w:rPr>
          <w:t xml:space="preserve">#35849</w:t>
        </w:r>
      </w:hyperlink>
      <w:r>
        <w:rPr>
          <w:b w:val="false"/>
          <w:bCs w:val="false"/>
          <w:i w:val="false"/>
          <w:iCs w:val="false"/>
        </w:rPr>
        <w:t xml:space="preserve">) fixing FP8 / NVFP4 quantization bug for sequence classification models (Qwen3 Reranker).</w:t>
      </w:r>
    </w:p>
    <w:p>
      <w:pPr>
        <w:pStyle w:val="Heading2"/>
        <w:spacing w:after="80" w:before="240"/>
      </w:pPr>
      <w:r>
        <w:rPr>
          <w:b w:val="false"/>
          <w:bCs w:val="false"/>
          <w:i w:val="false"/>
          <w:iCs w:val="false"/>
        </w:rPr>
        <w:t xml:space="preserve">Professional Service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 w:val="false"/>
          <w:iCs w:val="false"/>
        </w:rPr>
        <w:t xml:space="preserve">Reviewer</w:t>
      </w:r>
      <w:r>
        <w:rPr>
          <w:b w:val="false"/>
          <w:bCs w:val="false"/>
          <w:i w:val="false"/>
          <w:iCs w:val="false"/>
        </w:rPr>
        <w:t xml:space="preserve">, </w:t>
      </w:r>
      <w:r>
        <w:rPr>
          <w:b w:val="false"/>
          <w:bCs w:val="false"/>
          <w:i/>
          <w:iCs/>
        </w:rPr>
        <w:t xml:space="preserve">Conference on Neural Information Processing Systems (</w:t>
      </w:r>
      <w:r>
        <w:rPr>
          <w:b/>
          <w:bCs/>
          <w:i/>
          <w:iCs/>
        </w:rPr>
        <w:t xml:space="preserve">NeurIPS</w:t>
      </w:r>
      <w:r>
        <w:rPr>
          <w:b w:val="false"/>
          <w:bCs w:val="false"/>
          <w:i/>
          <w:iCs/>
        </w:rPr>
        <w:t xml:space="preserve">), 2026</w:t>
      </w:r>
      <w:r>
        <w:rPr>
          <w:b w:val="false"/>
          <w:bCs w:val="false"/>
          <w:i w:val="false"/>
          <w:iCs w:val="false"/>
        </w:rPr>
        <w:t xml:space="preserve">.</w:t>
      </w:r>
    </w:p>
    <w:p>
      <w:pPr>
        <w:pStyle w:val="Heading2"/>
        <w:spacing w:after="80" w:before="240"/>
      </w:pPr>
      <w:r>
        <w:rPr>
          <w:b w:val="false"/>
          <w:bCs w:val="false"/>
          <w:i w:val="false"/>
          <w:iCs w:val="false"/>
        </w:rPr>
        <w:t xml:space="preserve">Research &amp; Publications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 w:val="false"/>
          <w:iCs w:val="false"/>
        </w:rPr>
        <w:t xml:space="preserve">Hanjun Cho</w:t>
      </w:r>
      <w:r>
        <w:rPr>
          <w:b w:val="false"/>
          <w:bCs w:val="false"/>
          <w:i w:val="false"/>
          <w:iCs w:val="false"/>
        </w:rPr>
        <w:t xml:space="preserve">, Jay-Yoon Lee. "RARE: Redundancy-Aware Retrieval Evaluation Framework for High-Similarity Corpora."  </w:t>
      </w:r>
      <w:r>
        <w:rPr>
          <w:b w:val="false"/>
          <w:bCs w:val="false"/>
          <w:i/>
          <w:iCs/>
        </w:rPr>
        <w:t xml:space="preserve">Proceedings of the 64th Annual Meeting of the Association for Computational Linguistics (</w:t>
      </w:r>
      <w:r>
        <w:rPr>
          <w:b/>
          <w:bCs/>
          <w:i/>
          <w:iCs/>
        </w:rPr>
        <w:t xml:space="preserve">ACL</w:t>
      </w:r>
      <w:r>
        <w:rPr>
          <w:b w:val="false"/>
          <w:bCs w:val="false"/>
          <w:i/>
          <w:iCs/>
        </w:rPr>
        <w:t xml:space="preserve">), 2026</w:t>
      </w:r>
      <w:r>
        <w:rPr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 w:val="false"/>
          <w:iCs w:val="false"/>
        </w:rPr>
        <w:t xml:space="preserve">Hanjun Cho</w:t>
      </w:r>
      <w:r>
        <w:rPr>
          <w:b w:val="false"/>
          <w:bCs w:val="false"/>
          <w:i w:val="false"/>
          <w:iCs w:val="false"/>
        </w:rPr>
        <w:t xml:space="preserve">, Gahyun Yoo, Hanseong Kim, Jay-Yoon Lee. "Generalizing Numerical Reasoning in Table Data through Operation Sketches and Self-Supervised Learning." </w:t>
      </w:r>
      <w:r>
        <w:rPr>
          <w:b w:val="false"/>
          <w:bCs w:val="false"/>
          <w:i/>
          <w:iCs/>
        </w:rPr>
        <w:t xml:space="preserve">Transactions of the Association for Computational Linguistics (</w:t>
      </w:r>
      <w:r>
        <w:rPr>
          <w:b/>
          <w:bCs/>
          <w:i/>
          <w:iCs/>
        </w:rPr>
        <w:t xml:space="preserve">TACL</w:t>
      </w:r>
      <w:r>
        <w:rPr>
          <w:b w:val="false"/>
          <w:bCs w:val="false"/>
          <w:i/>
          <w:iCs/>
        </w:rPr>
        <w:t xml:space="preserve">), 2026</w:t>
      </w:r>
      <w:r>
        <w:rPr>
          <w:b w:val="false"/>
          <w:bCs w:val="false"/>
          <w:i w:val="false"/>
          <w:iCs w:val="false"/>
        </w:rPr>
        <w:t xml:space="preserve">.</w:t>
      </w:r>
    </w:p>
    <w:p>
      <w:pPr>
        <w:pStyle w:val="Heading2"/>
        <w:spacing w:after="80" w:before="240"/>
      </w:pPr>
      <w:r>
        <w:rPr>
          <w:b w:val="false"/>
          <w:bCs w:val="false"/>
          <w:i w:val="false"/>
          <w:iCs w:val="false"/>
        </w:rPr>
        <w:t xml:space="preserve">Others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 w:val="false"/>
          <w:iCs w:val="false"/>
        </w:rPr>
        <w:t xml:space="preserve">Core Part Lead</w:t>
      </w:r>
      <w:r>
        <w:rPr>
          <w:b w:val="false"/>
          <w:bCs w:val="false"/>
          <w:i w:val="false"/>
          <w:iCs w:val="false"/>
        </w:rPr>
        <w:t xml:space="preserve">: Led the Core team (3 engineers, ~6 months) driving technical differentiation: OCR &amp; VL embedding serving (63% lower latency), Agentic RAG (accuracy 45% → 82%).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 w:val="false"/>
          <w:iCs w:val="false"/>
        </w:rPr>
        <w:t xml:space="preserve">Ralli</w:t>
      </w:r>
      <w:r>
        <w:rPr>
          <w:b w:val="false"/>
          <w:bCs w:val="false"/>
          <w:i w:val="false"/>
          <w:iCs w:val="false"/>
        </w:rPr>
        <w:t xml:space="preserve">: enterprise RAG product, sole developer: built end-to-end in ~2 months, shipped to first paying customer (Hyundai Motor Securities).</w:t>
      </w:r>
    </w:p>
    <w:p>
      <w:pPr>
        <w:pStyle w:val="Heading2"/>
        <w:spacing w:after="80" w:before="240"/>
      </w:pPr>
      <w:r>
        <w:rPr>
          <w:b w:val="false"/>
          <w:bCs w:val="false"/>
          <w:i w:val="false"/>
          <w:iCs w:val="false"/>
        </w:rPr>
        <w:t xml:space="preserve">Education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 w:val="false"/>
          <w:iCs w:val="false"/>
        </w:rPr>
        <w:t xml:space="preserve">Seoul National University (SNU)</w:t>
      </w:r>
      <w:r>
        <w:rPr>
          <w:b w:val="false"/>
          <w:bCs w:val="false"/>
          <w:i w:val="false"/>
          <w:iCs w:val="false"/>
        </w:rPr>
        <w:t xml:space="preserve"> — M.S. Data Science · Mar 2022 – Aug 2024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 w:val="false"/>
          <w:iCs w:val="false"/>
        </w:rPr>
        <w:t xml:space="preserve">Hanyang University</w:t>
      </w:r>
      <w:r>
        <w:rPr>
          <w:b w:val="false"/>
          <w:bCs w:val="false"/>
          <w:i w:val="false"/>
          <w:iCs w:val="false"/>
        </w:rPr>
        <w:t xml:space="preserve"> — B.A. Economics &amp; Finance · Mar 2017 – Feb 2022</w:t>
      </w:r>
    </w:p>
    <w:p>
      <w:pPr>
        <w:pStyle w:val="Heading2"/>
        <w:spacing w:after="80" w:before="240"/>
      </w:pPr>
      <w:r>
        <w:rPr>
          <w:b w:val="false"/>
          <w:bCs w:val="false"/>
          <w:i w:val="false"/>
          <w:iCs w:val="false"/>
        </w:rPr>
        <w:t xml:space="preserve">Skills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 w:val="false"/>
          <w:iCs w:val="false"/>
        </w:rPr>
        <w:t xml:space="preserve">Programming:</w:t>
      </w:r>
      <w:r>
        <w:rPr>
          <w:b w:val="false"/>
          <w:bCs w:val="false"/>
          <w:i w:val="false"/>
          <w:iCs w:val="false"/>
        </w:rPr>
        <w:t xml:space="preserve"> Python, C/C++, SQL, R, PHP, HTML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 w:val="false"/>
          <w:iCs w:val="false"/>
        </w:rPr>
        <w:t xml:space="preserve">ML/DL:</w:t>
      </w:r>
      <w:r>
        <w:rPr>
          <w:b w:val="false"/>
          <w:bCs w:val="false"/>
          <w:i w:val="false"/>
          <w:iCs w:val="false"/>
        </w:rPr>
        <w:t xml:space="preserve"> PyTorch, TensorFlow, scikit-learn; PEFT, QLoRA, FlashAttention, DeepSpeed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 w:val="false"/>
          <w:iCs w:val="false"/>
        </w:rPr>
        <w:t xml:space="preserve">Inference / Serving:</w:t>
      </w:r>
      <w:r>
        <w:rPr>
          <w:b w:val="false"/>
          <w:bCs w:val="false"/>
          <w:i w:val="false"/>
          <w:iCs w:val="false"/>
        </w:rPr>
        <w:t xml:space="preserve"> TensorRT-LLM, TensorRT, vLLM, Triton, CUDA, OpenCL, MPI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 w:val="false"/>
          <w:iCs w:val="false"/>
        </w:rPr>
        <w:t xml:space="preserve">Retrieval:</w:t>
      </w:r>
      <w:r>
        <w:rPr>
          <w:b w:val="false"/>
          <w:bCs w:val="false"/>
          <w:i w:val="false"/>
          <w:iCs w:val="false"/>
        </w:rPr>
        <w:t xml:space="preserve"> Elasticsearch, Milvus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 w:val="false"/>
          <w:iCs w:val="false"/>
        </w:rPr>
        <w:t xml:space="preserve">Data / Infra:</w:t>
      </w:r>
      <w:r>
        <w:rPr>
          <w:b w:val="false"/>
          <w:bCs w:val="false"/>
          <w:i w:val="false"/>
          <w:iCs w:val="false"/>
        </w:rPr>
        <w:t xml:space="preserve"> MongoDB, PostgreSQL, Redis, Kafka, RabbitMQ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 w:val="false"/>
          <w:iCs w:val="false"/>
        </w:rPr>
        <w:t xml:space="preserve">MLOps / DevOps:</w:t>
      </w:r>
      <w:r>
        <w:rPr>
          <w:b w:val="false"/>
          <w:bCs w:val="false"/>
          <w:i w:val="false"/>
          <w:iCs w:val="false"/>
        </w:rPr>
        <w:t xml:space="preserve"> Docker, Kubernetes, AWS, Nginx, Prometheus, Grafana</w:t>
      </w:r>
    </w:p>
    <w:p>
      <w:pPr>
        <w:pStyle w:val="Heading2"/>
        <w:spacing w:after="80" w:before="240"/>
      </w:pPr>
      <w:r>
        <w:rPr>
          <w:b w:val="false"/>
          <w:bCs w:val="false"/>
          <w:i w:val="false"/>
          <w:iCs w:val="false"/>
        </w:rPr>
        <w:t xml:space="preserve">Projects</w:t>
      </w:r>
    </w:p>
    <w:p>
      <w:pPr>
        <w:pStyle w:val="Heading4"/>
        <w:spacing w:after="80" w:before="240"/>
      </w:pPr>
      <w:r>
        <w:rPr>
          <w:b w:val="false"/>
          <w:bCs w:val="false"/>
          <w:i w:val="false"/>
          <w:iCs w:val="false"/>
        </w:rPr>
        <w:t xml:space="preserve">AI Grand Challenge (Top-5, 2023)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 w:val="false"/>
          <w:bCs w:val="false"/>
          <w:i w:val="false"/>
          <w:iCs w:val="false"/>
        </w:rPr>
        <w:t xml:space="preserve">Developed table-text QA system with Docker deployment (Kobigbird, KLUE-RoBERTa, pko-T5).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 w:val="false"/>
          <w:bCs w:val="false"/>
          <w:i w:val="false"/>
          <w:iCs w:val="false"/>
        </w:rPr>
        <w:t xml:space="preserve">Built evaluation pipeline; achieved competitive performance.</w:t>
      </w:r>
    </w:p>
    <w:p>
      <w:pPr>
        <w:pStyle w:val="Heading4"/>
        <w:spacing w:after="80" w:before="240"/>
      </w:pPr>
      <w:r>
        <w:rPr>
          <w:b w:val="false"/>
          <w:bCs w:val="false"/>
          <w:i w:val="false"/>
          <w:iCs w:val="false"/>
        </w:rPr>
        <w:t xml:space="preserve">Securities Research Assistant (RA) — Sep 2023 – Dec 2023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 w:val="false"/>
          <w:bCs w:val="false"/>
          <w:i w:val="false"/>
          <w:iCs w:val="false"/>
        </w:rPr>
        <w:t xml:space="preserve">Automated US market/finance news QA system (BM25 + SBERT, Pegasus/BART, FinBERT, PrimeQA).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 w:val="false"/>
          <w:bCs w:val="false"/>
          <w:i w:val="false"/>
          <w:iCs w:val="false"/>
        </w:rPr>
        <w:t xml:space="preserve">Improved retrieval benchmark 47% → 83%.</w:t>
      </w:r>
    </w:p>
    <w:p>
      <w:pPr>
        <w:pStyle w:val="Heading4"/>
        <w:spacing w:after="80" w:before="240"/>
      </w:pPr>
      <w:r>
        <w:rPr>
          <w:b w:val="false"/>
          <w:bCs w:val="false"/>
          <w:i w:val="false"/>
          <w:iCs w:val="false"/>
        </w:rPr>
        <w:t xml:space="preserve">Disease Diagnosis via LMs — Sep 2022 – Dec 2022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 w:val="false"/>
          <w:bCs w:val="false"/>
          <w:i w:val="false"/>
          <w:iCs w:val="false"/>
        </w:rPr>
        <w:t xml:space="preserve">Built Top-5 prediction model; utilized Neo4j graph reasoning for transparency.</w:t>
      </w:r>
    </w:p>
    <w:p>
      <w:pPr>
        <w:pStyle w:val="Heading4"/>
        <w:spacing w:after="80" w:before="240"/>
      </w:pPr>
      <w:r>
        <w:rPr>
          <w:b w:val="false"/>
          <w:bCs w:val="false"/>
          <w:i w:val="false"/>
          <w:iCs w:val="false"/>
        </w:rPr>
        <w:t xml:space="preserve">Korean LM Compression — Sep 2022 – Dec 2022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 w:val="false"/>
          <w:bCs w:val="false"/>
          <w:i w:val="false"/>
          <w:iCs w:val="false"/>
        </w:rPr>
        <w:t xml:space="preserve">Achieved 30–40% size reduction with minimal performance loss via pruning, quantization, and distillation.</w:t>
      </w:r>
    </w:p>
    <w:p>
      <w:pPr>
        <w:pStyle w:val="Heading4"/>
        <w:spacing w:after="80" w:before="240"/>
      </w:pPr>
      <w:r>
        <w:rPr>
          <w:b w:val="false"/>
          <w:bCs w:val="false"/>
          <w:i w:val="false"/>
          <w:iCs w:val="false"/>
        </w:rPr>
        <w:t xml:space="preserve">XR Nursing Training (Contract) — Aug 2022 – Jan 2023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 w:val="false"/>
          <w:bCs w:val="false"/>
          <w:i w:val="false"/>
          <w:iCs w:val="false"/>
        </w:rPr>
        <w:t xml:space="preserve">Implemented real-time NPC dialogue; reduced latency 6–10s → ~3s; showcased at CES 2024.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1A3358"/>
      <w:u w:val="single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fzfabyyjnmthns1pceaz1" Type="http://schemas.openxmlformats.org/officeDocument/2006/relationships/hyperlink" Target="mailto:gkswns0531@gmail.com" TargetMode="External"/><Relationship Id="rIdryvnnrilvuocgcxgh1-zh" Type="http://schemas.openxmlformats.org/officeDocument/2006/relationships/hyperlink" Target="https://github.com/gkswns0531" TargetMode="External"/><Relationship Id="rIdyf9oko6_fmq3haanm-nuy" Type="http://schemas.openxmlformats.org/officeDocument/2006/relationships/hyperlink" Target="https://github.com/NVIDIA/TensorRT-LLM/pull/5650" TargetMode="External"/><Relationship Id="rIdztis-ca9y6cjbdhomqrdz" Type="http://schemas.openxmlformats.org/officeDocument/2006/relationships/hyperlink" Target="https://github.com/NVIDIA/TensorRT-LLM/pull/6470" TargetMode="External"/><Relationship Id="rIdtharvbncklgkejinutiip" Type="http://schemas.openxmlformats.org/officeDocument/2006/relationships/hyperlink" Target="https://github.com/vllm-project/vllm/pull/35849" TargetMode="External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Hanjun Cho — CV</dc:title>
  <dc:creator>Hanjun Cho</dc:creator>
  <dc:description>Curriculum Vitae</dc:description>
  <cp:lastModifiedBy>Un-named</cp:lastModifiedBy>
  <cp:revision>1</cp:revision>
  <dcterms:created xsi:type="dcterms:W3CDTF">2026-07-09T20:58:23.905Z</dcterms:created>
  <dcterms:modified xsi:type="dcterms:W3CDTF">2026-07-09T20:58:23.905Z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